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9" w:rsidRPr="00B957CB" w:rsidRDefault="007C7BC9" w:rsidP="00B957CB">
      <w:pPr>
        <w:jc w:val="center"/>
        <w:rPr>
          <w:rFonts w:eastAsia="Calibri"/>
          <w:b/>
          <w:bCs w:val="0"/>
          <w:bdr w:val="none" w:sz="0" w:space="0" w:color="auto" w:frame="1"/>
          <w:vertAlign w:val="subscript"/>
        </w:rPr>
      </w:pPr>
      <w:r w:rsidRPr="007C7BC9">
        <w:rPr>
          <w:rFonts w:eastAsia="Calibri"/>
          <w:b/>
          <w:bCs w:val="0"/>
          <w:bdr w:val="none" w:sz="0" w:space="0" w:color="auto" w:frame="1"/>
        </w:rPr>
        <w:t xml:space="preserve">ЗНАЧЕНИЕ МОТИВАЦИОННО-ЦЕННОСТНОГО КОМПОНЕНТА ЛИЧНОСТИ </w:t>
      </w:r>
      <w:proofErr w:type="gramStart"/>
      <w:r w:rsidRPr="007C7BC9">
        <w:rPr>
          <w:rFonts w:eastAsia="Calibri"/>
          <w:b/>
          <w:bCs w:val="0"/>
          <w:bdr w:val="none" w:sz="0" w:space="0" w:color="auto" w:frame="1"/>
        </w:rPr>
        <w:t>ОБУЧАЮЩИХСЯ</w:t>
      </w:r>
      <w:proofErr w:type="gramEnd"/>
      <w:r w:rsidRPr="007C7BC9">
        <w:rPr>
          <w:rFonts w:eastAsia="Calibri"/>
          <w:b/>
          <w:bCs w:val="0"/>
          <w:bdr w:val="none" w:sz="0" w:space="0" w:color="auto" w:frame="1"/>
        </w:rPr>
        <w:t xml:space="preserve"> СРЕДНЕЙ ШКОЛЫ, СДАВАВШИХ НОРМЫ ВФСК ГТО</w:t>
      </w:r>
    </w:p>
    <w:p w:rsidR="007C7BC9" w:rsidRPr="00B57938" w:rsidRDefault="007C7BC9" w:rsidP="007C7BC9">
      <w:pPr>
        <w:jc w:val="center"/>
        <w:rPr>
          <w:i/>
        </w:rPr>
      </w:pPr>
      <w:r w:rsidRPr="00B57938">
        <w:rPr>
          <w:b/>
          <w:i/>
        </w:rPr>
        <w:t xml:space="preserve">Д.Д. </w:t>
      </w:r>
      <w:proofErr w:type="spellStart"/>
      <w:r w:rsidRPr="00B57938">
        <w:rPr>
          <w:b/>
          <w:i/>
        </w:rPr>
        <w:t>Бекеев</w:t>
      </w:r>
      <w:proofErr w:type="spellEnd"/>
      <w:r w:rsidRPr="00B57938">
        <w:rPr>
          <w:b/>
          <w:i/>
        </w:rPr>
        <w:t xml:space="preserve">, </w:t>
      </w:r>
      <w:r w:rsidRPr="00B57938">
        <w:rPr>
          <w:i/>
        </w:rPr>
        <w:t>учитель физической культуры</w:t>
      </w:r>
    </w:p>
    <w:p w:rsidR="007C7BC9" w:rsidRDefault="007C7BC9" w:rsidP="007C7BC9">
      <w:pPr>
        <w:jc w:val="center"/>
        <w:rPr>
          <w:i/>
        </w:rPr>
      </w:pPr>
      <w:r w:rsidRPr="00B57938">
        <w:rPr>
          <w:i/>
        </w:rPr>
        <w:t>государственного бюджетного общеобразовательного учреждения средней общеобразовательной школы №3</w:t>
      </w:r>
      <w:r w:rsidRPr="007C7BC9">
        <w:t xml:space="preserve"> </w:t>
      </w:r>
      <w:r w:rsidRPr="007C7BC9">
        <w:rPr>
          <w:i/>
        </w:rPr>
        <w:t>имени дважды Героя Социалистического Труда В.Я. Литвинова</w:t>
      </w:r>
      <w:r w:rsidRPr="00B57938">
        <w:rPr>
          <w:i/>
        </w:rPr>
        <w:t xml:space="preserve"> </w:t>
      </w:r>
      <w:proofErr w:type="spellStart"/>
      <w:r w:rsidRPr="00B57938">
        <w:rPr>
          <w:i/>
        </w:rPr>
        <w:t>п</w:t>
      </w:r>
      <w:r>
        <w:rPr>
          <w:i/>
        </w:rPr>
        <w:t>.</w:t>
      </w:r>
      <w:r w:rsidRPr="00B57938">
        <w:rPr>
          <w:i/>
        </w:rPr>
        <w:t>г</w:t>
      </w:r>
      <w:r>
        <w:rPr>
          <w:i/>
        </w:rPr>
        <w:t>.</w:t>
      </w:r>
      <w:r w:rsidRPr="00B57938">
        <w:rPr>
          <w:i/>
        </w:rPr>
        <w:t>т</w:t>
      </w:r>
      <w:proofErr w:type="spellEnd"/>
      <w:r>
        <w:rPr>
          <w:i/>
        </w:rPr>
        <w:t>.</w:t>
      </w:r>
      <w:r w:rsidRPr="00B57938">
        <w:rPr>
          <w:i/>
        </w:rPr>
        <w:t xml:space="preserve"> </w:t>
      </w:r>
      <w:proofErr w:type="spellStart"/>
      <w:r w:rsidRPr="00B57938">
        <w:rPr>
          <w:i/>
        </w:rPr>
        <w:t>Смышляевка</w:t>
      </w:r>
      <w:proofErr w:type="spellEnd"/>
      <w:r w:rsidR="00B957CB">
        <w:rPr>
          <w:i/>
        </w:rPr>
        <w:t>, Самарской области.</w:t>
      </w:r>
    </w:p>
    <w:p w:rsidR="007C7BC9" w:rsidRDefault="007C7BC9" w:rsidP="007C7BC9">
      <w:pPr>
        <w:pStyle w:val="otstu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C7BC9" w:rsidRPr="00F97BDA" w:rsidRDefault="007C7BC9" w:rsidP="007C7BC9">
      <w:pPr>
        <w:pStyle w:val="otstu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7BDA">
        <w:rPr>
          <w:color w:val="000000"/>
        </w:rPr>
        <w:t xml:space="preserve">Трансформация российского общества не могла не затронуть систему ценностей и ценностных установок россиян. Сегодня много говорится и пишется о разрушении традиционной для русской культуры системы ценностей, </w:t>
      </w:r>
      <w:proofErr w:type="spellStart"/>
      <w:r w:rsidRPr="00F97BDA">
        <w:rPr>
          <w:color w:val="000000"/>
        </w:rPr>
        <w:t>вестернизации</w:t>
      </w:r>
      <w:proofErr w:type="spellEnd"/>
      <w:r w:rsidRPr="00F97BDA">
        <w:rPr>
          <w:color w:val="000000"/>
        </w:rPr>
        <w:t xml:space="preserve"> общественного сознания.</w:t>
      </w:r>
    </w:p>
    <w:p w:rsidR="007C7BC9" w:rsidRPr="00F97BDA" w:rsidRDefault="007C7BC9" w:rsidP="007C7BC9">
      <w:pPr>
        <w:pStyle w:val="otstu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7BDA">
        <w:rPr>
          <w:color w:val="000000"/>
        </w:rPr>
        <w:t xml:space="preserve">Ценности, как справедливо отмечал </w:t>
      </w:r>
      <w:proofErr w:type="spellStart"/>
      <w:r w:rsidRPr="00F97BDA">
        <w:rPr>
          <w:color w:val="000000"/>
        </w:rPr>
        <w:t>Ч.Кули</w:t>
      </w:r>
      <w:proofErr w:type="spellEnd"/>
      <w:r w:rsidRPr="00F97BDA">
        <w:rPr>
          <w:color w:val="000000"/>
        </w:rPr>
        <w:t>, являются «энергетическими узлами», точками эмоционального приложения в отношениях с миром, и в то же время основой механизма мотивации социального поведения людей [9]. Именно ценности обеспечивают интеграцию общества, помогая индивидам осуществлять социально одобряемый выбор своего поведения в жизненно значимых ситуациях.</w:t>
      </w:r>
    </w:p>
    <w:p w:rsidR="007C7BC9" w:rsidRPr="00F97BDA" w:rsidRDefault="007C7BC9" w:rsidP="007C7BC9">
      <w:pPr>
        <w:pStyle w:val="otstu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7BDA">
        <w:rPr>
          <w:color w:val="000000"/>
        </w:rPr>
        <w:t>Нынешняя молодежь в возрасте от 16 до 20 лет – это дети, рожденные в период радикальных социально-политических и экономических перемен («дети перемен»). Период их воспитания в жизни родителей совпал с жестко продиктованными реальностью требованиями выработать новые жизненные стратегии для приспособления, а подчас и выживания в динамично меняющейся жизненной реальности [10]. Как такое детство сказалось на мировоззрении и жизненных ценностях современной молодежи? Исследование этого вопроса представляется весьма значимым, поскольку в ее ценностных ориентациях и выборе жизненного пути содержатся элементы новых характеристик будущего российского общества.</w:t>
      </w:r>
    </w:p>
    <w:p w:rsidR="007C7BC9" w:rsidRPr="00F97BDA" w:rsidRDefault="007C7BC9" w:rsidP="007C7BC9">
      <w:pPr>
        <w:shd w:val="clear" w:color="auto" w:fill="FFFFFF"/>
        <w:ind w:firstLine="709"/>
        <w:jc w:val="both"/>
      </w:pPr>
      <w:proofErr w:type="gramStart"/>
      <w:r w:rsidRPr="00F97BDA">
        <w:t>В Концепции духовно-нравственного развития и воспитания личности гражданина России, которая является идеологической основой ФГОС, говорится о том, что же представляют собой базовые национальные ценности</w:t>
      </w:r>
      <w:r w:rsidRPr="00F97BDA">
        <w:rPr>
          <w:b/>
          <w:bCs w:val="0"/>
        </w:rPr>
        <w:t xml:space="preserve"> </w:t>
      </w:r>
      <w:r w:rsidRPr="00F97BDA">
        <w:t>- основные моральные ценности, приоритетные нравственные установки, существующие в культурных, семейных, социально - 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 [1].</w:t>
      </w:r>
      <w:proofErr w:type="gramEnd"/>
    </w:p>
    <w:p w:rsidR="007C7BC9" w:rsidRPr="00F97BDA" w:rsidRDefault="007C7BC9" w:rsidP="007C7BC9">
      <w:pPr>
        <w:shd w:val="clear" w:color="auto" w:fill="FFFFFF"/>
        <w:ind w:firstLine="709"/>
        <w:jc w:val="both"/>
        <w:textAlignment w:val="baseline"/>
      </w:pPr>
      <w:proofErr w:type="gramStart"/>
      <w:r w:rsidRPr="00F97BDA">
        <w:t>В настоящее время проводится масса исследований касаемо ценностных ориентаций школьников, в данном исследо</w:t>
      </w:r>
      <w:r>
        <w:t xml:space="preserve">вании мы затрагиваем специфику </w:t>
      </w:r>
      <w:r w:rsidRPr="00F97BDA">
        <w:t xml:space="preserve">мотивационно-ценностного компонента среди обучающихся сдавших нормы ГТО, так как данная программная и нормативная основа физического воспитания населения России принята к реализации сравнительно недавно. </w:t>
      </w:r>
      <w:proofErr w:type="gramEnd"/>
    </w:p>
    <w:p w:rsidR="007C7BC9" w:rsidRDefault="007C7BC9" w:rsidP="007C7BC9">
      <w:pPr>
        <w:ind w:firstLine="709"/>
        <w:jc w:val="both"/>
      </w:pPr>
      <w:r w:rsidRPr="00F97BDA">
        <w:t xml:space="preserve">В советское время, комплекс ГТО был реально работающим механизмом, задающим стандарты физического воспитания, физической подготовки, о чем еще  в 2013 году, на </w:t>
      </w:r>
      <w:r w:rsidRPr="00B957CB">
        <w:t xml:space="preserve">встрече по вопросам развития в </w:t>
      </w:r>
      <w:bookmarkStart w:id="0" w:name="_GoBack"/>
      <w:bookmarkEnd w:id="0"/>
      <w:r w:rsidRPr="00B957CB">
        <w:t>России системы физического воспитания детей и детско-юношеского спорта</w:t>
      </w:r>
      <w:r w:rsidRPr="00F97BDA">
        <w:t xml:space="preserve"> заострял внимание Президент Российской Федерации В.В. Путин [4]. Вскоре был подписан Указ о Всероссийском физкультурно-спортивном комплексе «Готов к труду и обороне» от 24.03.2014 г. №172 [3], направленный на мотивацию российских граждан к здоровому образу жизни и занятиям спортом. </w:t>
      </w:r>
    </w:p>
    <w:p w:rsidR="007C7BC9" w:rsidRPr="00F97BDA" w:rsidRDefault="007C7BC9" w:rsidP="007C7BC9">
      <w:pPr>
        <w:ind w:firstLine="709"/>
        <w:jc w:val="both"/>
      </w:pPr>
      <w:r w:rsidRPr="00F97BDA">
        <w:t xml:space="preserve">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закладывается, в том числе,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 и воспитания подрастающего поколения. Организаторы проекта ГТО считают возрождение комплекса ГТО в учебных </w:t>
      </w:r>
      <w:r w:rsidRPr="00F97BDA">
        <w:lastRenderedPageBreak/>
        <w:t>заведениях принципиально важным для формирования у молодого поколения целеустремлённости и уверенности в своих силах.</w:t>
      </w:r>
    </w:p>
    <w:p w:rsidR="007C7BC9" w:rsidRPr="00F97BDA" w:rsidRDefault="007C7BC9" w:rsidP="007C7BC9">
      <w:pPr>
        <w:ind w:firstLine="709"/>
        <w:jc w:val="both"/>
      </w:pPr>
      <w:r w:rsidRPr="00F97BDA">
        <w:t>Многие молодые люди 16-18 лет задаются вопросом, зачем выполнять ГТО в 21 веке, то ответ, для каждого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 [6]. Некоторые не находят ответа на свой вопрос и неохотно или вообще не участвуют в сдаче норм ВФСК ГТО.</w:t>
      </w:r>
    </w:p>
    <w:p w:rsidR="007C7BC9" w:rsidRPr="00F97BDA" w:rsidRDefault="007C7BC9" w:rsidP="007C7BC9">
      <w:pPr>
        <w:ind w:firstLine="709"/>
        <w:jc w:val="both"/>
      </w:pPr>
      <w:r w:rsidRPr="00F97BDA">
        <w:t>В связи с этим, было проведено исследование, с целью выявить различия в  мотивационно-ценностном компоненте личности обучающихся 10-11 классов, принявших участие в сдаче норм ВФСК ГТО и теми, кто посчитал это лишней тратой сил и времени.</w:t>
      </w:r>
    </w:p>
    <w:p w:rsidR="007C7BC9" w:rsidRPr="00F97BDA" w:rsidRDefault="007C7BC9" w:rsidP="007C7BC9">
      <w:pPr>
        <w:ind w:firstLine="709"/>
        <w:jc w:val="both"/>
      </w:pPr>
      <w:proofErr w:type="gramStart"/>
      <w:r w:rsidRPr="00F97BDA">
        <w:t>Важная роль, была отведена методикам измерения мотивационной и ценностной ориентации занятий спортом обучающихся основной ступени образования, имеющие своей целью облегчение воспитательной работы учителей физической культуры и содержащим ряд методических советов по осуществлению анализа и возможностей применения получаемых результатов исследования.</w:t>
      </w:r>
      <w:proofErr w:type="gramEnd"/>
    </w:p>
    <w:p w:rsidR="007C7BC9" w:rsidRPr="00F97BDA" w:rsidRDefault="007C7BC9" w:rsidP="007C7BC9">
      <w:pPr>
        <w:ind w:firstLine="709"/>
        <w:jc w:val="both"/>
      </w:pPr>
      <w:r w:rsidRPr="00F97BDA">
        <w:t xml:space="preserve">Объектом исследования были выбраны обучающиеся 10-11 классов ГБОУ СОШ №3 </w:t>
      </w:r>
      <w:proofErr w:type="spellStart"/>
      <w:r w:rsidRPr="00F97BDA">
        <w:t>п</w:t>
      </w:r>
      <w:r>
        <w:t>.</w:t>
      </w:r>
      <w:r w:rsidRPr="00F97BDA">
        <w:t>г</w:t>
      </w:r>
      <w:r>
        <w:t>.</w:t>
      </w:r>
      <w:r w:rsidRPr="00F97BDA">
        <w:t>т</w:t>
      </w:r>
      <w:proofErr w:type="spellEnd"/>
      <w:r>
        <w:t>.</w:t>
      </w:r>
      <w:r w:rsidRPr="00F97BDA">
        <w:t xml:space="preserve"> </w:t>
      </w:r>
      <w:proofErr w:type="spellStart"/>
      <w:r w:rsidRPr="00F97BDA">
        <w:t>Смышляевка</w:t>
      </w:r>
      <w:proofErr w:type="spellEnd"/>
      <w:r w:rsidRPr="00F97BDA">
        <w:t>.</w:t>
      </w:r>
      <w:r>
        <w:t xml:space="preserve"> </w:t>
      </w:r>
      <w:r w:rsidRPr="00F97BDA">
        <w:t xml:space="preserve">В исследовании приняли участие 53 </w:t>
      </w:r>
      <w:proofErr w:type="gramStart"/>
      <w:r w:rsidRPr="00F97BDA">
        <w:t>обучающихся</w:t>
      </w:r>
      <w:proofErr w:type="gramEnd"/>
      <w:r w:rsidRPr="00F97BDA">
        <w:t xml:space="preserve">. Были выделены </w:t>
      </w:r>
      <w:r>
        <w:t>1 группа</w:t>
      </w:r>
      <w:r w:rsidRPr="00F97BDA">
        <w:t xml:space="preserve"> – принявшие участие в сдаче норм ВФСК ГТО и</w:t>
      </w:r>
      <w:r>
        <w:t xml:space="preserve"> 2 группа -</w:t>
      </w:r>
      <w:r w:rsidRPr="00F97BDA">
        <w:t xml:space="preserve"> не участвовавшие. </w:t>
      </w:r>
    </w:p>
    <w:p w:rsidR="007C7BC9" w:rsidRPr="00F97BDA" w:rsidRDefault="007C7BC9" w:rsidP="007C7BC9">
      <w:pPr>
        <w:ind w:firstLine="709"/>
        <w:jc w:val="both"/>
      </w:pPr>
      <w:r w:rsidRPr="00F97BDA">
        <w:t xml:space="preserve">Каждый ученик выполнял 2 </w:t>
      </w:r>
      <w:proofErr w:type="gramStart"/>
      <w:r w:rsidRPr="00F97BDA">
        <w:t>психологических</w:t>
      </w:r>
      <w:proofErr w:type="gramEnd"/>
      <w:r w:rsidRPr="00F97BDA">
        <w:t xml:space="preserve"> теста. Для тестирования мотивов занятий спортом использовалась методика А.В. </w:t>
      </w:r>
      <w:proofErr w:type="spellStart"/>
      <w:r w:rsidRPr="00F97BDA">
        <w:t>Шаболтас</w:t>
      </w:r>
      <w:proofErr w:type="spellEnd"/>
      <w:r w:rsidRPr="00F97BDA">
        <w:t xml:space="preserve"> [8]. Методика  предназначена для выявления доминирующих целей (личностных смыслов) занятий спортом и включает в себя 10 мотивов-категорий, соответствующих определенным высказываниям и (суждениям), приведенным </w:t>
      </w:r>
      <w:proofErr w:type="gramStart"/>
      <w:r w:rsidRPr="00F97BDA">
        <w:t>в опроснике</w:t>
      </w:r>
      <w:proofErr w:type="gramEnd"/>
      <w:r w:rsidRPr="00F97BDA">
        <w:t xml:space="preserve">. Методика, как измерительный инструмент, основана на выборе одного из попарно предлагаемых суждений. Главное условие - каждое суждение сопоставляется со всеми другими; всего для 10 мотивов-категорий имеется 45 пар суждений для сопоставления. Таким образом, оценка каждого мотива-суждения выполняется 9 раз и появляется возможность ранжировать мотивы по степени их выраженности (в баллах). </w:t>
      </w:r>
      <w:r w:rsidRPr="00F97BDA">
        <w:rPr>
          <w:rStyle w:val="a5"/>
          <w:rFonts w:eastAsia="Calibri"/>
          <w:b w:val="0"/>
        </w:rPr>
        <w:t>Далее проводится обработка результатов</w:t>
      </w:r>
      <w:r w:rsidRPr="00F97BDA">
        <w:t>: Каждый выбор оценивается от 1 до 3 баллов в зависимости от степени преобладания одного суждения над другим «немного» 1 балл, «достаточно» 2 балла, «значительно» 3 балла, За ответ «не знаю» баллы не начисляются. Подсчитывается сумма баллов и составляется таблица по каждому мотиву. Максимальная сумма для одного мотива не превышает 27 баллов.</w:t>
      </w:r>
    </w:p>
    <w:p w:rsidR="007C7BC9" w:rsidRPr="00F97BDA" w:rsidRDefault="007C7BC9" w:rsidP="007C7BC9">
      <w:pPr>
        <w:ind w:firstLine="709"/>
        <w:jc w:val="both"/>
      </w:pPr>
      <w:proofErr w:type="gramStart"/>
      <w:r w:rsidRPr="00F97BDA">
        <w:t xml:space="preserve">Наиболее распространенной в настоящее время является методика изучения ценностных ориентации М. </w:t>
      </w:r>
      <w:proofErr w:type="spellStart"/>
      <w:r w:rsidRPr="00F97BDA">
        <w:t>Рокича</w:t>
      </w:r>
      <w:proofErr w:type="spellEnd"/>
      <w:r w:rsidRPr="00F97BDA">
        <w:t>, основанная на прямом ранжировании списка ценностей [5].</w:t>
      </w:r>
      <w:proofErr w:type="gramEnd"/>
      <w:r w:rsidRPr="00F97BDA">
        <w:t xml:space="preserve"> Обучающимся были предложены на карточках 2 списка ценностей (по 18 в каждом), которые они, внимательно изучив, раскладывали по порядку значимости. Та ценность, что для респондента была наиболее значимой, помещалась на первое место, вторую по значимости ценность на второе </w:t>
      </w:r>
      <w:proofErr w:type="spellStart"/>
      <w:r w:rsidRPr="00F97BDA">
        <w:t>и.т.д</w:t>
      </w:r>
      <w:proofErr w:type="spellEnd"/>
      <w:r w:rsidRPr="00F97BDA">
        <w:t>. Наименее значимая ценность занимала 18 место. Результаты тестирования также заносятся в таблицу, для каждого обучающегося.</w:t>
      </w:r>
    </w:p>
    <w:p w:rsidR="007C7BC9" w:rsidRPr="00F97BDA" w:rsidRDefault="007C7BC9" w:rsidP="007C7BC9">
      <w:pPr>
        <w:ind w:firstLine="709"/>
        <w:jc w:val="both"/>
      </w:pPr>
      <w:r w:rsidRPr="00F97BDA">
        <w:rPr>
          <w:bCs w:val="0"/>
        </w:rPr>
        <w:t xml:space="preserve">Результаты сравнительного анализа тестов, оказались следующими. </w:t>
      </w:r>
      <w:r w:rsidRPr="00F97BDA">
        <w:rPr>
          <w:shd w:val="clear" w:color="auto" w:fill="FFFFFF"/>
        </w:rPr>
        <w:t xml:space="preserve">При выявлении статистически незначимой тенденции в смещении (сдвиге) показателей мы можем использовать ряд критериев различия. В нашем случае, использовался статистический метод – </w:t>
      </w:r>
      <w:r w:rsidRPr="00F97BDA">
        <w:rPr>
          <w:shd w:val="clear" w:color="auto" w:fill="FFFFFF"/>
          <w:lang w:val="en-US"/>
        </w:rPr>
        <w:t>U</w:t>
      </w:r>
      <w:r w:rsidRPr="00F97BDA">
        <w:rPr>
          <w:shd w:val="clear" w:color="auto" w:fill="FFFFFF"/>
        </w:rPr>
        <w:t xml:space="preserve">-критерий </w:t>
      </w:r>
      <w:proofErr w:type="spellStart"/>
      <w:r w:rsidRPr="00F97BDA">
        <w:rPr>
          <w:shd w:val="clear" w:color="auto" w:fill="FFFFFF"/>
        </w:rPr>
        <w:t>Вилкоксона</w:t>
      </w:r>
      <w:proofErr w:type="spellEnd"/>
      <w:r w:rsidRPr="00F97BDA">
        <w:rPr>
          <w:shd w:val="clear" w:color="auto" w:fill="FFFFFF"/>
        </w:rPr>
        <w:t xml:space="preserve">-Манна-Уитни. </w:t>
      </w:r>
      <w:r w:rsidRPr="00F97BDA">
        <w:t xml:space="preserve">Он предназначен для оценки различий между двумя малыми выборками по уровню какого-либо признака, количественно измеренного. 1-м рядом (выборкой, </w:t>
      </w:r>
      <w:proofErr w:type="gramStart"/>
      <w:r w:rsidRPr="00F97BDA">
        <w:t xml:space="preserve">группой) </w:t>
      </w:r>
      <w:proofErr w:type="gramEnd"/>
      <w:r w:rsidRPr="00F97BDA">
        <w:t xml:space="preserve">мы называем тот ряд значений, в котором значения, по предварительной оценке, выше, а 2-м рядом - тот, где они предположительно ниже. Эмпирическое значение критерия U отражает то, насколько велика зона совпадения между рядами. Поэтому чем меньше </w:t>
      </w:r>
      <w:proofErr w:type="spellStart"/>
      <w:proofErr w:type="gramStart"/>
      <w:r w:rsidRPr="00F97BDA">
        <w:t>U</w:t>
      </w:r>
      <w:proofErr w:type="gramEnd"/>
      <w:r w:rsidRPr="00F97BDA">
        <w:rPr>
          <w:vertAlign w:val="subscript"/>
        </w:rPr>
        <w:t>эмп</w:t>
      </w:r>
      <w:proofErr w:type="spellEnd"/>
      <w:r w:rsidRPr="00F97BDA">
        <w:t>, тем более вероятно, что различия достоверны.</w:t>
      </w:r>
    </w:p>
    <w:p w:rsidR="007C7BC9" w:rsidRPr="00F97BDA" w:rsidRDefault="007C7BC9" w:rsidP="007C7BC9">
      <w:pPr>
        <w:ind w:firstLine="709"/>
        <w:jc w:val="both"/>
      </w:pPr>
      <w:r w:rsidRPr="00F97BDA">
        <w:rPr>
          <w:bCs w:val="0"/>
        </w:rPr>
        <w:lastRenderedPageBreak/>
        <w:t xml:space="preserve">Были выдвинуты следующие гипотезы: </w:t>
      </w:r>
      <w:r w:rsidRPr="00F97BDA">
        <w:rPr>
          <w:rStyle w:val="a5"/>
          <w:rFonts w:eastAsia="Calibri"/>
          <w:b w:val="0"/>
          <w:color w:val="000000"/>
        </w:rPr>
        <w:t>H</w:t>
      </w:r>
      <w:r w:rsidRPr="00F97BDA">
        <w:rPr>
          <w:rStyle w:val="a5"/>
          <w:rFonts w:eastAsia="Calibri"/>
          <w:b w:val="0"/>
          <w:color w:val="000000"/>
          <w:vertAlign w:val="subscript"/>
        </w:rPr>
        <w:t>0</w:t>
      </w:r>
      <w:r w:rsidRPr="00F97BDA">
        <w:rPr>
          <w:b/>
        </w:rPr>
        <w:t>:</w:t>
      </w:r>
      <w:r w:rsidRPr="00F97BDA">
        <w:t xml:space="preserve"> Уровень признака в группе 2 не ниже уровня признака в группе 1. </w:t>
      </w:r>
      <w:r w:rsidRPr="00F97BDA">
        <w:rPr>
          <w:rStyle w:val="a5"/>
          <w:rFonts w:eastAsia="Calibri"/>
          <w:b w:val="0"/>
          <w:color w:val="000000"/>
        </w:rPr>
        <w:t>H</w:t>
      </w:r>
      <w:r w:rsidRPr="00F97BDA">
        <w:rPr>
          <w:rStyle w:val="a5"/>
          <w:rFonts w:eastAsia="Calibri"/>
          <w:b w:val="0"/>
          <w:color w:val="000000"/>
          <w:vertAlign w:val="subscript"/>
        </w:rPr>
        <w:t>1</w:t>
      </w:r>
      <w:r w:rsidRPr="00F97BDA">
        <w:t>: Уровень признака в группе 2 ниже уровня признака в группе 1. И учтены о</w:t>
      </w:r>
      <w:r w:rsidRPr="00F97BDA">
        <w:rPr>
          <w:bCs w:val="0"/>
        </w:rPr>
        <w:t xml:space="preserve">граничения U-критерия </w:t>
      </w:r>
      <w:proofErr w:type="spellStart"/>
      <w:r w:rsidRPr="00F97BDA">
        <w:rPr>
          <w:bCs w:val="0"/>
        </w:rPr>
        <w:t>Вилкоксона</w:t>
      </w:r>
      <w:proofErr w:type="spellEnd"/>
      <w:r w:rsidRPr="00F97BDA">
        <w:rPr>
          <w:bCs w:val="0"/>
        </w:rPr>
        <w:t xml:space="preserve">-Манна-Уитни: </w:t>
      </w:r>
      <w:r w:rsidRPr="00F97BDA">
        <w:t>1. В каждой выборке должно быть не менее 3 наблюдений, допускается, чтобы в одной выборке было 2 наблюдения, но тогда во второй их должно быть не менее 5. 2. В каждой выборке должно быть не более 60 наблюдений.</w:t>
      </w:r>
    </w:p>
    <w:p w:rsidR="007C7BC9" w:rsidRPr="00F97BDA" w:rsidRDefault="007C7BC9" w:rsidP="007C7BC9">
      <w:pPr>
        <w:ind w:firstLine="709"/>
        <w:jc w:val="both"/>
      </w:pPr>
      <w:r w:rsidRPr="00F97BDA">
        <w:t>Выдвигаемые гипотезы:</w:t>
      </w:r>
      <w:r>
        <w:t xml:space="preserve"> </w:t>
      </w:r>
      <w:r w:rsidRPr="00F97BDA">
        <w:t>Н</w:t>
      </w:r>
      <w:proofErr w:type="gramStart"/>
      <w:r w:rsidRPr="00F97BDA">
        <w:rPr>
          <w:vertAlign w:val="subscript"/>
        </w:rPr>
        <w:t>0</w:t>
      </w:r>
      <w:proofErr w:type="gramEnd"/>
      <w:r w:rsidRPr="00F97BDA">
        <w:t>: У обучающихся, сдававшие нормы ВФСК ГТО (выборка 2), мотивационно-ценностный компонент личности не отличается от не принимавших участия во ВФСК ГТО (выборка 1);</w:t>
      </w:r>
      <w:r>
        <w:t xml:space="preserve"> </w:t>
      </w:r>
      <w:r w:rsidRPr="00F97BDA">
        <w:t>Н</w:t>
      </w:r>
      <w:proofErr w:type="gramStart"/>
      <w:r w:rsidRPr="00F97BDA">
        <w:rPr>
          <w:vertAlign w:val="subscript"/>
        </w:rPr>
        <w:t>1</w:t>
      </w:r>
      <w:proofErr w:type="gramEnd"/>
      <w:r w:rsidRPr="00F97BDA">
        <w:t xml:space="preserve">: </w:t>
      </w:r>
      <w:proofErr w:type="gramStart"/>
      <w:r w:rsidRPr="00F97BDA">
        <w:t>У обучающихся, сдававшие нормы ВФСК ГТО (выборка 2), мотивационно-ценностный компонент личности отличается от не принимавших участия во ВФСК ГТ</w:t>
      </w:r>
      <w:r>
        <w:t>О (выборка 1).</w:t>
      </w:r>
      <w:proofErr w:type="gramEnd"/>
    </w:p>
    <w:p w:rsidR="007C7BC9" w:rsidRPr="00F97BDA" w:rsidRDefault="007C7BC9" w:rsidP="007C7BC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BDA">
        <w:rPr>
          <w:rFonts w:ascii="Times New Roman" w:hAnsi="Times New Roman" w:cs="Times New Roman"/>
          <w:sz w:val="24"/>
          <w:szCs w:val="24"/>
        </w:rPr>
        <w:t xml:space="preserve">Автоматический расчет U-критерия 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 xml:space="preserve">-Манна-Уитни осуществлялся при помощи программы IBM SPSS 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 xml:space="preserve"> [7] - интегрированный комплекс продуктов, охватывающих весь процесс анализа, от планирования до сбора данных, анализа и составления отчетов.</w:t>
      </w:r>
      <w:r w:rsidRPr="00F97BD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97BDA">
        <w:rPr>
          <w:rFonts w:ascii="Times New Roman" w:hAnsi="Times New Roman" w:cs="Times New Roman"/>
          <w:sz w:val="24"/>
          <w:szCs w:val="24"/>
        </w:rPr>
        <w:t xml:space="preserve">езультаты расчетов показали, что в </w:t>
      </w:r>
      <w:r w:rsidRPr="00F97BD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гражданско-патриотическом мотиве </w:t>
      </w:r>
      <w:proofErr w:type="spellStart"/>
      <w:proofErr w:type="gramStart"/>
      <w:r w:rsidRPr="00F97BD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эмп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 xml:space="preserve">=0,012, а значение 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U</w:t>
      </w:r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>=0,05</w:t>
      </w:r>
      <w:r w:rsidRPr="00F97BDA">
        <w:rPr>
          <w:rFonts w:ascii="Times New Roman" w:hAnsi="Times New Roman" w:cs="Times New Roman"/>
          <w:color w:val="000000"/>
          <w:sz w:val="24"/>
          <w:szCs w:val="24"/>
        </w:rPr>
        <w:t xml:space="preserve"> и такой жизненной ценности, как смелость в отстаивании своего мнения, взглядов 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U</w:t>
      </w:r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эмп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 xml:space="preserve">=0,003, а значение 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U</w:t>
      </w:r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 xml:space="preserve">=0,05, следовательно, 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U</w:t>
      </w:r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эмп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97BDA">
        <w:rPr>
          <w:rFonts w:ascii="Times New Roman" w:hAnsi="Times New Roman" w:cs="Times New Roman"/>
          <w:sz w:val="24"/>
          <w:szCs w:val="24"/>
        </w:rPr>
        <w:t>U</w:t>
      </w:r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97BDA">
        <w:rPr>
          <w:rFonts w:ascii="Times New Roman" w:hAnsi="Times New Roman" w:cs="Times New Roman"/>
          <w:sz w:val="24"/>
          <w:szCs w:val="24"/>
        </w:rPr>
        <w:t xml:space="preserve">, поэтому отвергается гипотеза </w:t>
      </w:r>
      <w:r w:rsidRPr="00F97B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97BD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97BDA">
        <w:rPr>
          <w:rFonts w:ascii="Times New Roman" w:hAnsi="Times New Roman" w:cs="Times New Roman"/>
          <w:sz w:val="24"/>
          <w:szCs w:val="24"/>
        </w:rPr>
        <w:t xml:space="preserve"> о незначительности различий между выборками. Для остальных мотивов и ценностей полученные эмпирические значения находятся в зоне незначимости.</w:t>
      </w:r>
    </w:p>
    <w:p w:rsidR="007C7BC9" w:rsidRDefault="007C7BC9" w:rsidP="007C7BC9">
      <w:pPr>
        <w:ind w:firstLine="709"/>
        <w:jc w:val="both"/>
      </w:pPr>
      <w:r w:rsidRPr="00F97BDA">
        <w:t xml:space="preserve">Полученные данные, подтвердили предположение, что мотивационно-ценностный компонент у обучающихся, выполнявших нормы ВФСК ГТО, отличается от тех обучающихся, кто не принимал участия в выполнении нормативов комплекса. </w:t>
      </w:r>
      <w:proofErr w:type="gramStart"/>
      <w:r w:rsidRPr="00F97BDA">
        <w:t>Молодые люди, у которых присутствует гражданско-патриотический мотив, т.е. стремление к спортивному совершенствованию для успешного выступления на соревнованиях, для поддержания престижа коллектива, города, страны и не боящиеся отстаивать свое мнение, взгляды, жизненные принципы, все это личностные результаты освоения основной образовательной программы основного общего образования, которые прописаны в базовых национальных ценностях ФГОС ООО.</w:t>
      </w:r>
      <w:proofErr w:type="gramEnd"/>
      <w:r w:rsidRPr="00F97BDA">
        <w:t xml:space="preserve"> У всех, кто добровольно решил пройти испытание комплексом ГТО, есть одна общая черта, — целеустремлённость. Именно эта черта является наиболее важной для людей XXI века. Только целеустремлённые и физически подготовленные люди смогут добиваться успеха в условиях конкуренции на рынке труда.</w:t>
      </w:r>
    </w:p>
    <w:p w:rsidR="007C7BC9" w:rsidRPr="00F97BDA" w:rsidRDefault="007C7BC9" w:rsidP="007C7BC9">
      <w:pPr>
        <w:ind w:firstLine="709"/>
        <w:jc w:val="both"/>
      </w:pPr>
    </w:p>
    <w:p w:rsidR="007C7BC9" w:rsidRPr="00F97BDA" w:rsidRDefault="007C7BC9" w:rsidP="007C7BC9">
      <w:pPr>
        <w:ind w:firstLine="709"/>
        <w:rPr>
          <w:b/>
          <w:shd w:val="clear" w:color="auto" w:fill="FFFFFF"/>
        </w:rPr>
      </w:pPr>
      <w:r w:rsidRPr="00F97BDA">
        <w:rPr>
          <w:b/>
          <w:shd w:val="clear" w:color="auto" w:fill="FFFFFF"/>
        </w:rPr>
        <w:t>СПИСОК ЛИТЕРАТУРЫ</w:t>
      </w:r>
    </w:p>
    <w:p w:rsidR="007C7BC9" w:rsidRPr="00F97BDA" w:rsidRDefault="007C7BC9" w:rsidP="007C7BC9">
      <w:pPr>
        <w:ind w:firstLine="709"/>
        <w:jc w:val="both"/>
      </w:pPr>
      <w:r w:rsidRPr="00F97BDA">
        <w:rPr>
          <w:shd w:val="clear" w:color="auto" w:fill="FFFFFF"/>
        </w:rPr>
        <w:t xml:space="preserve">1. </w:t>
      </w:r>
      <w:r w:rsidRPr="00F97BDA">
        <w:t>Данилюк А. Я. 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</w:t>
      </w:r>
      <w:proofErr w:type="gramStart"/>
      <w:r w:rsidRPr="00F97BDA">
        <w:t>.</w:t>
      </w:r>
      <w:proofErr w:type="gramEnd"/>
      <w:r w:rsidRPr="00F97BDA">
        <w:t xml:space="preserve"> </w:t>
      </w:r>
      <w:proofErr w:type="gramStart"/>
      <w:r w:rsidRPr="00F97BDA">
        <w:t>а</w:t>
      </w:r>
      <w:proofErr w:type="gramEnd"/>
      <w:r w:rsidRPr="00F97BDA">
        <w:t xml:space="preserve">кад. образования. ― М.: Просвещении, 2009. ― 00 </w:t>
      </w:r>
      <w:proofErr w:type="gramStart"/>
      <w:r w:rsidRPr="00F97BDA">
        <w:t>с</w:t>
      </w:r>
      <w:proofErr w:type="gramEnd"/>
      <w:r w:rsidRPr="00F97BDA">
        <w:t xml:space="preserve">. ― (Стандарты второго поколения). ― </w:t>
      </w:r>
      <w:proofErr w:type="gramStart"/>
      <w:r w:rsidRPr="00F97BDA">
        <w:rPr>
          <w:lang w:val="en-US"/>
        </w:rPr>
        <w:t>ISBN</w:t>
      </w:r>
      <w:r w:rsidRPr="00F97BDA">
        <w:t xml:space="preserve">  978</w:t>
      </w:r>
      <w:proofErr w:type="gramEnd"/>
      <w:r w:rsidRPr="00F97BDA">
        <w:t>-5-09-022138-2</w:t>
      </w:r>
    </w:p>
    <w:p w:rsidR="007C7BC9" w:rsidRPr="00F97BDA" w:rsidRDefault="007C7BC9" w:rsidP="007C7BC9">
      <w:pPr>
        <w:shd w:val="clear" w:color="auto" w:fill="FFFFFF"/>
        <w:ind w:firstLine="709"/>
        <w:jc w:val="both"/>
        <w:rPr>
          <w:color w:val="000000"/>
        </w:rPr>
      </w:pPr>
      <w:r w:rsidRPr="00F97BDA">
        <w:t xml:space="preserve">2. </w:t>
      </w:r>
      <w:proofErr w:type="spellStart"/>
      <w:r w:rsidRPr="00F97BDA">
        <w:rPr>
          <w:color w:val="000000"/>
        </w:rPr>
        <w:t>Запесоцкий</w:t>
      </w:r>
      <w:proofErr w:type="spellEnd"/>
      <w:r w:rsidRPr="00F97BDA">
        <w:rPr>
          <w:color w:val="000000"/>
        </w:rPr>
        <w:t xml:space="preserve"> А.С. Дети эпохи перемен: их ценности и выбор/ А.С. </w:t>
      </w:r>
      <w:proofErr w:type="spellStart"/>
      <w:r w:rsidRPr="00F97BDA">
        <w:rPr>
          <w:color w:val="000000"/>
        </w:rPr>
        <w:t>Запесоцкий</w:t>
      </w:r>
      <w:proofErr w:type="spellEnd"/>
      <w:r w:rsidRPr="00F97BDA">
        <w:rPr>
          <w:color w:val="000000"/>
        </w:rPr>
        <w:t xml:space="preserve"> // Социологические исследования. – 2006. - №12. </w:t>
      </w:r>
    </w:p>
    <w:p w:rsidR="007C7BC9" w:rsidRPr="00F97BDA" w:rsidRDefault="007C7BC9" w:rsidP="007C7BC9">
      <w:pPr>
        <w:ind w:firstLine="709"/>
        <w:jc w:val="both"/>
        <w:rPr>
          <w:color w:val="000000"/>
        </w:rPr>
      </w:pPr>
      <w:r w:rsidRPr="00F97BDA">
        <w:t xml:space="preserve">3. </w:t>
      </w:r>
      <w:r w:rsidRPr="00F97BDA">
        <w:rPr>
          <w:color w:val="000000"/>
        </w:rPr>
        <w:t>Кули Ч. Социальная самость // Американская социологическая мысль: Тексты / Под общ</w:t>
      </w:r>
      <w:proofErr w:type="gramStart"/>
      <w:r w:rsidRPr="00F97BDA">
        <w:rPr>
          <w:color w:val="000000"/>
        </w:rPr>
        <w:t>.</w:t>
      </w:r>
      <w:proofErr w:type="gramEnd"/>
      <w:r w:rsidRPr="00F97BDA">
        <w:rPr>
          <w:color w:val="000000"/>
        </w:rPr>
        <w:t xml:space="preserve"> </w:t>
      </w:r>
      <w:proofErr w:type="gramStart"/>
      <w:r w:rsidRPr="00F97BDA">
        <w:rPr>
          <w:color w:val="000000"/>
        </w:rPr>
        <w:t>р</w:t>
      </w:r>
      <w:proofErr w:type="gramEnd"/>
      <w:r w:rsidRPr="00F97BDA">
        <w:rPr>
          <w:color w:val="000000"/>
        </w:rPr>
        <w:t xml:space="preserve">ед. В.И. </w:t>
      </w:r>
      <w:proofErr w:type="spellStart"/>
      <w:r w:rsidRPr="00F97BDA">
        <w:rPr>
          <w:color w:val="000000"/>
        </w:rPr>
        <w:t>Добренькова</w:t>
      </w:r>
      <w:proofErr w:type="spellEnd"/>
      <w:r w:rsidRPr="00F97BDA">
        <w:rPr>
          <w:color w:val="000000"/>
        </w:rPr>
        <w:t>. – М.: Международный университет бизнеса и управления, 1996.</w:t>
      </w:r>
    </w:p>
    <w:p w:rsidR="007C7BC9" w:rsidRPr="00F97BDA" w:rsidRDefault="007C7BC9" w:rsidP="007C7BC9">
      <w:pPr>
        <w:ind w:firstLine="709"/>
        <w:jc w:val="both"/>
        <w:rPr>
          <w:shd w:val="clear" w:color="auto" w:fill="FFFFFF"/>
        </w:rPr>
      </w:pPr>
      <w:r w:rsidRPr="00F97BDA">
        <w:rPr>
          <w:shd w:val="clear" w:color="auto" w:fill="FFFFFF"/>
        </w:rPr>
        <w:t>4. Указ о Всероссийском физкультурно-спортивном комплексе «Готов к труду и обороне» от 24.03.2014 г. №172 (3)</w:t>
      </w:r>
    </w:p>
    <w:p w:rsidR="007C7BC9" w:rsidRPr="00F97BDA" w:rsidRDefault="007C7BC9" w:rsidP="007C7BC9">
      <w:pPr>
        <w:ind w:firstLine="709"/>
        <w:jc w:val="both"/>
      </w:pPr>
      <w:r w:rsidRPr="00F97BDA">
        <w:t xml:space="preserve">5. </w:t>
      </w:r>
      <w:hyperlink r:id="rId5" w:history="1">
        <w:r w:rsidRPr="00F97BDA">
          <w:rPr>
            <w:rStyle w:val="a4"/>
          </w:rPr>
          <w:t>http://минобрнауки.рф/документы/938</w:t>
        </w:r>
      </w:hyperlink>
    </w:p>
    <w:p w:rsidR="007C7BC9" w:rsidRPr="00F97BDA" w:rsidRDefault="007C7BC9" w:rsidP="007C7BC9">
      <w:pPr>
        <w:ind w:firstLine="709"/>
        <w:jc w:val="both"/>
      </w:pPr>
      <w:r w:rsidRPr="00F97BDA">
        <w:t xml:space="preserve">6. </w:t>
      </w:r>
      <w:hyperlink r:id="rId6" w:history="1">
        <w:r w:rsidRPr="00F97BDA">
          <w:rPr>
            <w:rStyle w:val="a4"/>
          </w:rPr>
          <w:t>http://www-03.ibm.com/software/products/ru/spss-statistics</w:t>
        </w:r>
      </w:hyperlink>
    </w:p>
    <w:p w:rsidR="007C7BC9" w:rsidRPr="00F97BDA" w:rsidRDefault="007C7BC9" w:rsidP="007C7BC9">
      <w:pPr>
        <w:ind w:firstLine="709"/>
        <w:jc w:val="both"/>
        <w:rPr>
          <w:rStyle w:val="a4"/>
        </w:rPr>
      </w:pPr>
      <w:r w:rsidRPr="00F97BDA">
        <w:t xml:space="preserve">7. </w:t>
      </w:r>
      <w:hyperlink r:id="rId7" w:history="1">
        <w:r w:rsidRPr="00F97BDA">
          <w:rPr>
            <w:rStyle w:val="a4"/>
          </w:rPr>
          <w:t>http://azps.ru/tests/tests_rokich.html</w:t>
        </w:r>
      </w:hyperlink>
    </w:p>
    <w:p w:rsidR="007C7BC9" w:rsidRPr="00F97BDA" w:rsidRDefault="007C7BC9" w:rsidP="007C7BC9">
      <w:pPr>
        <w:ind w:firstLine="709"/>
        <w:jc w:val="both"/>
        <w:rPr>
          <w:rStyle w:val="a4"/>
        </w:rPr>
      </w:pPr>
      <w:r w:rsidRPr="007C7BC9">
        <w:t>8.</w:t>
      </w:r>
      <w:r w:rsidRPr="00F97BDA">
        <w:rPr>
          <w:rStyle w:val="a4"/>
        </w:rPr>
        <w:t xml:space="preserve"> </w:t>
      </w:r>
      <w:hyperlink r:id="rId8" w:history="1">
        <w:r w:rsidRPr="00F97BDA">
          <w:rPr>
            <w:rStyle w:val="a4"/>
          </w:rPr>
          <w:t>http://www.gto.ru/history</w:t>
        </w:r>
      </w:hyperlink>
    </w:p>
    <w:p w:rsidR="007C7BC9" w:rsidRPr="00F97BDA" w:rsidRDefault="007C7BC9" w:rsidP="007C7BC9">
      <w:pPr>
        <w:ind w:firstLine="709"/>
        <w:jc w:val="both"/>
        <w:rPr>
          <w:rStyle w:val="a4"/>
        </w:rPr>
      </w:pPr>
      <w:r w:rsidRPr="007C7BC9">
        <w:t>9.</w:t>
      </w:r>
      <w:r w:rsidRPr="00F97BDA">
        <w:rPr>
          <w:rStyle w:val="a4"/>
        </w:rPr>
        <w:t xml:space="preserve"> </w:t>
      </w:r>
      <w:hyperlink r:id="rId9" w:history="1">
        <w:r w:rsidRPr="00F97BDA">
          <w:rPr>
            <w:rStyle w:val="a4"/>
          </w:rPr>
          <w:t>http://www.kremlin.ru/events/president/news/17667</w:t>
        </w:r>
      </w:hyperlink>
    </w:p>
    <w:p w:rsidR="00AC14D3" w:rsidRDefault="007C7BC9" w:rsidP="00B957CB">
      <w:pPr>
        <w:ind w:firstLine="709"/>
        <w:jc w:val="both"/>
      </w:pPr>
      <w:r w:rsidRPr="007C7BC9">
        <w:t>10.</w:t>
      </w:r>
      <w:r w:rsidRPr="00F97BDA">
        <w:rPr>
          <w:rStyle w:val="a4"/>
        </w:rPr>
        <w:t xml:space="preserve"> </w:t>
      </w:r>
      <w:hyperlink r:id="rId10" w:history="1">
        <w:r w:rsidRPr="00F97BDA">
          <w:rPr>
            <w:rStyle w:val="a4"/>
          </w:rPr>
          <w:t>http://www.magma-team.ru/testy/motivy-zanyatiy-sportom</w:t>
        </w:r>
      </w:hyperlink>
    </w:p>
    <w:sectPr w:rsidR="00AC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9"/>
    <w:rsid w:val="002460EA"/>
    <w:rsid w:val="007C7BC9"/>
    <w:rsid w:val="00AC14D3"/>
    <w:rsid w:val="00B957CB"/>
    <w:rsid w:val="00E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BC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7C7BC9"/>
    <w:rPr>
      <w:rFonts w:cs="Times New Roman"/>
      <w:color w:val="0000FF"/>
      <w:u w:val="single"/>
    </w:rPr>
  </w:style>
  <w:style w:type="character" w:styleId="a5">
    <w:name w:val="Strong"/>
    <w:qFormat/>
    <w:rsid w:val="007C7BC9"/>
    <w:rPr>
      <w:rFonts w:cs="Times New Roman"/>
      <w:b/>
      <w:bCs/>
    </w:rPr>
  </w:style>
  <w:style w:type="paragraph" w:styleId="HTML">
    <w:name w:val="HTML Preformatted"/>
    <w:basedOn w:val="a"/>
    <w:link w:val="HTML0"/>
    <w:rsid w:val="007C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7BC9"/>
    <w:rPr>
      <w:rFonts w:ascii="Courier New" w:eastAsia="Calibri" w:hAnsi="Courier New" w:cs="Courier New"/>
      <w:bCs/>
      <w:sz w:val="20"/>
      <w:szCs w:val="20"/>
      <w:lang w:eastAsia="ru-RU"/>
    </w:rPr>
  </w:style>
  <w:style w:type="paragraph" w:customStyle="1" w:styleId="otstup">
    <w:name w:val="otstup"/>
    <w:basedOn w:val="a"/>
    <w:rsid w:val="007C7BC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BC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7C7BC9"/>
    <w:rPr>
      <w:rFonts w:cs="Times New Roman"/>
      <w:color w:val="0000FF"/>
      <w:u w:val="single"/>
    </w:rPr>
  </w:style>
  <w:style w:type="character" w:styleId="a5">
    <w:name w:val="Strong"/>
    <w:qFormat/>
    <w:rsid w:val="007C7BC9"/>
    <w:rPr>
      <w:rFonts w:cs="Times New Roman"/>
      <w:b/>
      <w:bCs/>
    </w:rPr>
  </w:style>
  <w:style w:type="paragraph" w:styleId="HTML">
    <w:name w:val="HTML Preformatted"/>
    <w:basedOn w:val="a"/>
    <w:link w:val="HTML0"/>
    <w:rsid w:val="007C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7BC9"/>
    <w:rPr>
      <w:rFonts w:ascii="Courier New" w:eastAsia="Calibri" w:hAnsi="Courier New" w:cs="Courier New"/>
      <w:bCs/>
      <w:sz w:val="20"/>
      <w:szCs w:val="20"/>
      <w:lang w:eastAsia="ru-RU"/>
    </w:rPr>
  </w:style>
  <w:style w:type="paragraph" w:customStyle="1" w:styleId="otstup">
    <w:name w:val="otstup"/>
    <w:basedOn w:val="a"/>
    <w:rsid w:val="007C7BC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hi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ps.ru/tests/tests_rokic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-03.ibm.com/software/products/ru/spss-statist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10" Type="http://schemas.openxmlformats.org/officeDocument/2006/relationships/hyperlink" Target="http://www.magma-team.ru/testy/motivy-zanyatiy-spor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events/president/news/1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23-2</dc:creator>
  <cp:lastModifiedBy>23-2</cp:lastModifiedBy>
  <cp:revision>1</cp:revision>
  <dcterms:created xsi:type="dcterms:W3CDTF">2018-08-20T08:34:00Z</dcterms:created>
  <dcterms:modified xsi:type="dcterms:W3CDTF">2018-08-20T09:30:00Z</dcterms:modified>
</cp:coreProperties>
</file>