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ЗДОРОВЬЕСБЕРЕГАЮЩИЕ ТЕХНОЛОГИИ В ДОУ</w:t>
      </w:r>
      <w:r w:rsidRPr="00F23D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C53A3" w:rsidRPr="00F23DD2" w:rsidRDefault="008C53A3" w:rsidP="00F23DD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педагогического мышления как основа реализации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ДОУ </w:t>
      </w:r>
    </w:p>
    <w:p w:rsidR="008C53A3" w:rsidRDefault="008C53A3" w:rsidP="00F23DD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ДОУ, их классификация, методические рекомендации к работе.</w:t>
      </w:r>
      <w:bookmarkStart w:id="1" w:name="_Toc180564389"/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Основные понятия:</w:t>
      </w:r>
      <w:bookmarkEnd w:id="1"/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«технология» (ЮНЕСКО), «педагогическая технология» (В.А. 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Сластенин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«педагогическая технология», «образовательная технология педагогики 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23DD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технология», «здоровье» (ВОЗ), «здоровье физическое», «физическая активность», «здоровье психическое», «психическая активность», «здоровье социальное», «социальная активность», «здоровье нравственное».</w:t>
      </w:r>
      <w:proofErr w:type="gramEnd"/>
    </w:p>
    <w:p w:rsidR="008C53A3" w:rsidRPr="00F23DD2" w:rsidRDefault="008C53A3" w:rsidP="00F23DD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180564390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Тезаурус:</w:t>
      </w:r>
      <w:bookmarkEnd w:id="2"/>
    </w:p>
    <w:tbl>
      <w:tblPr>
        <w:tblW w:w="0" w:type="auto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52"/>
        <w:gridCol w:w="6866"/>
      </w:tblGrid>
      <w:tr w:rsidR="008C53A3" w:rsidRPr="00F23DD2">
        <w:trPr>
          <w:tblHeader/>
        </w:trPr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«педагогическая 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строго научное прогнозирование (проектирование) и точное воспроизведение педагогических действий, которые обеспечивают достижение запланированных результатов (В.А.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«образовательная технология педагогики </w:t>
            </w:r>
            <w:proofErr w:type="spellStart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2843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это процесс воспроизведения педагогических действий из арсенала педагогического и методического инструментариев в рамках связи «Педагог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физическое»</w:t>
            </w:r>
          </w:p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это совершенство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организме, максимальная адаптация к окружающей среде.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«физическая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психическое»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«психическая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потребность нормально развивающегося ребенка в познании окружающей жизни: природы, человеческих отношений; в познании самого себя.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социальное»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2843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моральное самообладание, адекватная оценка своего «Я», самоопределение личности в оптимальных условиях микр</w:t>
            </w:r>
            <w:proofErr w:type="gramStart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 макросреды (семье, социальной группе).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в поведении, направленном на поддержание и выполнение правил, в стремлении помочь выполнять эти правила своим сверстникам.</w:t>
            </w:r>
          </w:p>
        </w:tc>
      </w:tr>
      <w:tr w:rsidR="008C53A3" w:rsidRPr="00F23DD2"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«здоровье нравственное»</w:t>
            </w:r>
          </w:p>
        </w:tc>
        <w:tc>
          <w:tcPr>
            <w:tcW w:w="6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3A3" w:rsidRPr="00F23DD2" w:rsidRDefault="008C53A3" w:rsidP="00F23D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комплекс характеристик мотивационной и </w:t>
            </w:r>
            <w:proofErr w:type="spellStart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F2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8C53A3" w:rsidRPr="00F23DD2" w:rsidRDefault="008C53A3" w:rsidP="00F23D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Содержание_лекции_"/>
      <w:bookmarkEnd w:id="3"/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●         организационно-педагогические технологии, определяющие структуру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●        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8C53A3" w:rsidRPr="00F23DD2" w:rsidRDefault="008C53A3" w:rsidP="00F23DD2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●         учебно-воспитательные технологии, которые включают программы по обучению заботе о своем здоровье и формированию культуры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современные педагоги готовы реализовывать в образовательном процессе принципы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технологий?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они открыты сотрудничеству с медиками?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Способны ли вести диалог с родителями и предпринимать совместные действия по сохранению и укреплению здоровья детей?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сложившейся ситуации дает весьма печальные ответы на поставленные вопросы.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существует низкий уровень мотивации на сохранение и укрепление индивидуального здоровья. Сейчас все чаще можно услышать об отсутствии культуры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здоровья в России. Человек не стремится взять на себя ответственность за здоровье. Рождаясь 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, самого здоровья человек не ощущает до тех пор, пока не возникнут серьезные признаки его нарушения. Почувствовав болезнь и получив облегчение от врача, он все больше склоняется к убеждению о зависимости своего здоровья именно от медицины. Такой подход освобождает самого человека от необходимости "работать над собой". Культурный же человек, как отмечал И.И.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место "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забалтывание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" проблемы здоровья. Существует такой педагогический феномен: обсуждая какую-либо проблему, рассматривая ее со всех сторон, человек снимает часть внутреннего напряжения, возникшего в связи с этой проблемой. В результате боль, озабоченность становятся меньше. Реальная деятельность в направлении решения возникшей сложной проблемы подменяется рассуждениями на эту тему. Но ситуация не разрешается, т. к. только размышлениями и рассуждениями проблему не решить. Организуя деятельность по сохранению и укреплению здоровья субъектов образовательного процесса, формированию у них культуры здоровья, следует помнить о существовании данного феномена, не подменять деятельность рассуждения о ней.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можно констатировать сужение понятия "здоровье". Существует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</w:t>
      </w:r>
    </w:p>
    <w:p w:rsidR="008C53A3" w:rsidRPr="00F23DD2" w:rsidRDefault="008C53A3" w:rsidP="00F23DD2">
      <w:pPr>
        <w:spacing w:before="100" w:beforeAutospacing="1" w:after="100" w:afterAutospacing="1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социально-психологической</w:t>
      </w:r>
      <w:proofErr w:type="gramEnd"/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3D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ания на период до 2010 года 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</w:t>
      </w: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CF4" w:rsidRDefault="00B67CF4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1.</w:t>
      </w:r>
    </w:p>
    <w:p w:rsidR="008C53A3" w:rsidRPr="00F23DD2" w:rsidRDefault="008C53A3" w:rsidP="00F23DD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180564392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Современные </w:t>
      </w:r>
      <w:proofErr w:type="spellStart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технологии</w:t>
      </w:r>
      <w:bookmarkEnd w:id="4"/>
    </w:p>
    <w:tbl>
      <w:tblPr>
        <w:tblW w:w="9781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05"/>
        <w:gridCol w:w="2616"/>
        <w:gridCol w:w="3346"/>
        <w:gridCol w:w="1914"/>
      </w:tblGrid>
      <w:tr w:rsidR="008C53A3" w:rsidRPr="00F23DD2">
        <w:trPr>
          <w:trHeight w:val="51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53A3" w:rsidRPr="00F23DD2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8C53A3" w:rsidRPr="00F23DD2">
        <w:trPr>
          <w:trHeight w:val="1488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8C53A3" w:rsidRPr="00F23DD2">
        <w:trPr>
          <w:trHeight w:val="931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воспитания, музыкальный руководитель, педагог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8C53A3" w:rsidRPr="00F23DD2">
        <w:trPr>
          <w:trHeight w:val="42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53A3" w:rsidRPr="00F23DD2">
        <w:trPr>
          <w:trHeight w:val="1114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подбираются е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570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Технологии обучения здоровому образу жизни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Физкультурное занятие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2-3 раза в неделю в спортивном или музыкальном залах.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 возраст - в групповой комнате, 10 мин. 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игротреннинги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30 мин. со ст.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включены в сетку занятий в качестве познавательного развития</w:t>
            </w:r>
            <w:proofErr w:type="gramEnd"/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педагог-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Точечный самомассаж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строго по специальной методике.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ст. медсестра, руководитель физического воспитания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Биологическая обратная связь (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валеолог</w:t>
            </w:r>
            <w:proofErr w:type="spell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специально обученный педагог</w:t>
            </w:r>
          </w:p>
        </w:tc>
      </w:tr>
      <w:tr w:rsidR="008C53A3" w:rsidRPr="00F23DD2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ind w:firstLine="5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Коррекционные технологии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Психогимнастика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раза в неделю со старшего возраста по 25-30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C53A3" w:rsidRPr="00F23DD2">
        <w:trPr>
          <w:trHeight w:val="1133"/>
        </w:trPr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Фонетическая ритмика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озраст-15 мин., старший возраст-30 мин.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3A3" w:rsidRPr="00F23DD2" w:rsidRDefault="008C53A3" w:rsidP="00F23DD2">
            <w:pPr>
              <w:spacing w:before="100" w:beforeAutospacing="1" w:after="100" w:afterAutospacing="1"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логопед</w:t>
            </w:r>
          </w:p>
        </w:tc>
      </w:tr>
    </w:tbl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Применение в работе ДОУ </w:t>
      </w:r>
      <w:proofErr w:type="spellStart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здоровьесберегающих</w:t>
      </w:r>
      <w:proofErr w:type="spellEnd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воспитательно</w:t>
      </w:r>
      <w:proofErr w:type="spellEnd"/>
      <w:r w:rsidRPr="00F23DD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8C53A3" w:rsidRPr="00F23DD2" w:rsidRDefault="008C53A3" w:rsidP="00F23DD2">
      <w:pPr>
        <w:spacing w:before="100" w:beforeAutospacing="1" w:after="100" w:afterAutospacing="1" w:line="100" w:lineRule="atLeast"/>
        <w:ind w:firstLine="55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 литературы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1.    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обучения: индивидуально-ориентированный подход // Школа здоровья. 2000. Т. 7. №2. С.21 – 28. 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Ковалько В.И.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технологии: школьник и компьютер: 1-4 классы. - М.: ВАКО, 2007.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>Кучма В.Р. Теория и практика гигиены детей и подростков на рубеже тысячелетий. - М., 2001.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Кучма В.Р.,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Сердюковская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Г.Н., Демин А.К. Руководство по гигиене и охране здоровья школьников. - М., 2000.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5.    </w:t>
      </w: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рекомендации: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>., 2002.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6.     Назаренко Л.Д. Оздоровительные основы физических упражнений. - М., 2002.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>7.     Педагогика и психология здоровья</w:t>
      </w:r>
      <w:proofErr w:type="gram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Н.К. Смирнова. - М.: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АПКиПРО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8.     Смирнов Н.К. </w:t>
      </w: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технологии в работе учителя и школы. - М.: АРКТИ, 2003.</w:t>
      </w:r>
    </w:p>
    <w:p w:rsidR="008C53A3" w:rsidRPr="00F23DD2" w:rsidRDefault="008C53A3" w:rsidP="00F23DD2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3DD2">
        <w:rPr>
          <w:rFonts w:ascii="Times New Roman" w:hAnsi="Times New Roman" w:cs="Times New Roman"/>
          <w:sz w:val="24"/>
          <w:szCs w:val="24"/>
          <w:lang w:eastAsia="ru-RU"/>
        </w:rPr>
        <w:t>Солдатченко</w:t>
      </w:r>
      <w:proofErr w:type="spellEnd"/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 С.С., Кащенко Г.Ф. и др. Ароматерапия. Профилактика и лечение заболеваний эфирными маслами. "Таврида", Симферополь, 1999. </w:t>
      </w:r>
    </w:p>
    <w:p w:rsidR="008C53A3" w:rsidRPr="00F23DD2" w:rsidRDefault="008C53A3" w:rsidP="00F23DD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DD2">
        <w:rPr>
          <w:rFonts w:ascii="Times New Roman" w:hAnsi="Times New Roman" w:cs="Times New Roman"/>
          <w:sz w:val="24"/>
          <w:szCs w:val="24"/>
          <w:lang w:eastAsia="ru-RU"/>
        </w:rPr>
        <w:t xml:space="preserve">10. Сухарев А.Г. Концепция укрепления здоровья детского и подросткового населения России // Школа здоровья. 2000. Т. 7. №2. С.29 – 34. </w:t>
      </w:r>
    </w:p>
    <w:p w:rsidR="008C53A3" w:rsidRPr="00F23DD2" w:rsidRDefault="008C53A3">
      <w:pPr>
        <w:rPr>
          <w:rFonts w:ascii="Times New Roman" w:hAnsi="Times New Roman" w:cs="Times New Roman"/>
          <w:sz w:val="24"/>
          <w:szCs w:val="24"/>
        </w:rPr>
      </w:pPr>
    </w:p>
    <w:sectPr w:rsidR="008C53A3" w:rsidRPr="00F23DD2" w:rsidSect="004A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0E" w:rsidRDefault="00CD050E" w:rsidP="00F23DD2">
      <w:pPr>
        <w:spacing w:after="0" w:line="240" w:lineRule="auto"/>
      </w:pPr>
      <w:r>
        <w:separator/>
      </w:r>
    </w:p>
  </w:endnote>
  <w:endnote w:type="continuationSeparator" w:id="0">
    <w:p w:rsidR="00CD050E" w:rsidRDefault="00CD050E" w:rsidP="00F2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0E" w:rsidRDefault="00CD050E" w:rsidP="00F23DD2">
      <w:pPr>
        <w:spacing w:after="0" w:line="240" w:lineRule="auto"/>
      </w:pPr>
      <w:r>
        <w:separator/>
      </w:r>
    </w:p>
  </w:footnote>
  <w:footnote w:type="continuationSeparator" w:id="0">
    <w:p w:rsidR="00CD050E" w:rsidRDefault="00CD050E" w:rsidP="00F2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3F6"/>
    <w:multiLevelType w:val="multilevel"/>
    <w:tmpl w:val="9860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1018"/>
    <w:multiLevelType w:val="multilevel"/>
    <w:tmpl w:val="15D03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DD2"/>
    <w:rsid w:val="001C39FB"/>
    <w:rsid w:val="002843FC"/>
    <w:rsid w:val="004A7906"/>
    <w:rsid w:val="0080227E"/>
    <w:rsid w:val="00882591"/>
    <w:rsid w:val="008C53A3"/>
    <w:rsid w:val="00917663"/>
    <w:rsid w:val="0095307D"/>
    <w:rsid w:val="00A52F5B"/>
    <w:rsid w:val="00B67CF4"/>
    <w:rsid w:val="00BA16A6"/>
    <w:rsid w:val="00C627CD"/>
    <w:rsid w:val="00CD050E"/>
    <w:rsid w:val="00D32E85"/>
    <w:rsid w:val="00DE0FCB"/>
    <w:rsid w:val="00F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E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0F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DE0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3D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DE0FC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rsid w:val="00DE0FCB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link w:val="5"/>
    <w:uiPriority w:val="99"/>
    <w:rsid w:val="00DE0FC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23DD2"/>
  </w:style>
  <w:style w:type="character" w:customStyle="1" w:styleId="a6">
    <w:name w:val="a6"/>
    <w:basedOn w:val="a0"/>
    <w:uiPriority w:val="99"/>
    <w:rsid w:val="00F23DD2"/>
  </w:style>
  <w:style w:type="paragraph" w:customStyle="1" w:styleId="a5">
    <w:name w:val="a5"/>
    <w:basedOn w:val="a"/>
    <w:uiPriority w:val="99"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uiPriority w:val="99"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rsid w:val="00F23DD2"/>
  </w:style>
  <w:style w:type="paragraph" w:styleId="a7">
    <w:name w:val="Body Text"/>
    <w:basedOn w:val="a"/>
    <w:link w:val="a8"/>
    <w:uiPriority w:val="99"/>
    <w:semiHidden/>
    <w:rsid w:val="00F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F23D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2613</Words>
  <Characters>14897</Characters>
  <Application>Microsoft Office Word</Application>
  <DocSecurity>0</DocSecurity>
  <Lines>124</Lines>
  <Paragraphs>34</Paragraphs>
  <ScaleCrop>false</ScaleCrop>
  <Company>Microsoft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Лена</cp:lastModifiedBy>
  <cp:revision>9</cp:revision>
  <dcterms:created xsi:type="dcterms:W3CDTF">2011-10-06T09:59:00Z</dcterms:created>
  <dcterms:modified xsi:type="dcterms:W3CDTF">2022-03-14T15:47:00Z</dcterms:modified>
</cp:coreProperties>
</file>